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58F22" w14:textId="41493DB3" w:rsidR="00D17D9C" w:rsidRPr="008F5458" w:rsidRDefault="008F5458" w:rsidP="008F5458">
      <w:pPr>
        <w:spacing w:after="0" w:line="240" w:lineRule="auto"/>
        <w:jc w:val="center"/>
        <w:rPr>
          <w:rFonts w:asciiTheme="majorBidi" w:hAnsiTheme="majorBidi" w:cstheme="majorBidi"/>
          <w:b/>
          <w:bCs/>
          <w:sz w:val="28"/>
          <w:szCs w:val="28"/>
          <w:u w:val="single"/>
          <w:lang w:val="en-US"/>
        </w:rPr>
      </w:pPr>
      <w:bookmarkStart w:id="0" w:name="_Hlk52976335"/>
      <w:r w:rsidRPr="008F5458">
        <w:rPr>
          <w:noProof/>
          <w:sz w:val="28"/>
          <w:szCs w:val="28"/>
          <w:lang w:val="en-US"/>
        </w:rPr>
        <w:drawing>
          <wp:inline distT="0" distB="0" distL="0" distR="0" wp14:anchorId="31D0D6FE" wp14:editId="33D49562">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2EE42365" w14:textId="77777777" w:rsidR="00907CFC" w:rsidRPr="008F5458" w:rsidRDefault="00907CFC" w:rsidP="008F5458">
      <w:pPr>
        <w:spacing w:after="0" w:line="240" w:lineRule="auto"/>
        <w:jc w:val="center"/>
        <w:rPr>
          <w:rFonts w:ascii="Times New Roman" w:hAnsi="Times New Roman" w:cs="Times New Roman"/>
          <w:b/>
          <w:bCs/>
          <w:sz w:val="28"/>
          <w:szCs w:val="28"/>
          <w:lang w:val="en-US"/>
        </w:rPr>
      </w:pPr>
    </w:p>
    <w:p w14:paraId="17887C2C" w14:textId="2EAC0090" w:rsidR="008F14B1" w:rsidRPr="008F5458" w:rsidRDefault="00907CFC" w:rsidP="008F5458">
      <w:pPr>
        <w:spacing w:after="0" w:line="240" w:lineRule="auto"/>
        <w:jc w:val="center"/>
        <w:rPr>
          <w:rFonts w:ascii="Times New Roman" w:hAnsi="Times New Roman" w:cs="Times New Roman"/>
          <w:b/>
          <w:bCs/>
          <w:sz w:val="28"/>
          <w:szCs w:val="28"/>
          <w:lang w:val="fr-FR"/>
        </w:rPr>
      </w:pPr>
      <w:r w:rsidRPr="008F5458">
        <w:rPr>
          <w:rFonts w:ascii="Times New Roman" w:hAnsi="Times New Roman" w:cs="Times New Roman"/>
          <w:b/>
          <w:bCs/>
          <w:sz w:val="28"/>
          <w:szCs w:val="28"/>
          <w:lang w:val="fr-FR"/>
        </w:rPr>
        <w:t xml:space="preserve">Note conceptuelle </w:t>
      </w:r>
    </w:p>
    <w:p w14:paraId="09840EE4" w14:textId="626A9B85" w:rsidR="00D11017" w:rsidRPr="008F5458" w:rsidRDefault="008F14B1" w:rsidP="008F5458">
      <w:pPr>
        <w:spacing w:after="0" w:line="240" w:lineRule="auto"/>
        <w:jc w:val="center"/>
        <w:rPr>
          <w:rFonts w:ascii="Times New Roman" w:hAnsi="Times New Roman" w:cs="Times New Roman"/>
          <w:b/>
          <w:bCs/>
          <w:sz w:val="28"/>
          <w:szCs w:val="28"/>
          <w:lang w:val="fr-FR"/>
        </w:rPr>
      </w:pPr>
      <w:r w:rsidRPr="008F5458">
        <w:rPr>
          <w:rFonts w:ascii="Times New Roman" w:hAnsi="Times New Roman" w:cs="Times New Roman"/>
          <w:b/>
          <w:bCs/>
          <w:sz w:val="28"/>
          <w:szCs w:val="28"/>
          <w:lang w:val="fr-FR"/>
        </w:rPr>
        <w:t>s</w:t>
      </w:r>
      <w:r w:rsidR="00907CFC" w:rsidRPr="008F5458">
        <w:rPr>
          <w:rFonts w:ascii="Times New Roman" w:hAnsi="Times New Roman" w:cs="Times New Roman"/>
          <w:b/>
          <w:bCs/>
          <w:sz w:val="28"/>
          <w:szCs w:val="28"/>
          <w:lang w:val="fr-FR"/>
        </w:rPr>
        <w:t>ur</w:t>
      </w:r>
      <w:r w:rsidRPr="008F5458">
        <w:rPr>
          <w:rFonts w:ascii="Times New Roman" w:hAnsi="Times New Roman" w:cs="Times New Roman"/>
          <w:b/>
          <w:bCs/>
          <w:sz w:val="28"/>
          <w:szCs w:val="28"/>
          <w:lang w:val="fr-FR"/>
        </w:rPr>
        <w:t xml:space="preserve"> les </w:t>
      </w:r>
      <w:r w:rsidR="00907CFC" w:rsidRPr="008F5458">
        <w:rPr>
          <w:rFonts w:ascii="Times New Roman" w:hAnsi="Times New Roman" w:cs="Times New Roman"/>
          <w:b/>
          <w:bCs/>
          <w:sz w:val="28"/>
          <w:szCs w:val="28"/>
          <w:lang w:val="fr-FR"/>
        </w:rPr>
        <w:t>Réserves de sécurité alimentaire de l'OCI</w:t>
      </w:r>
    </w:p>
    <w:p w14:paraId="2A3BE65E" w14:textId="77777777" w:rsidR="00066753" w:rsidRPr="008F5458" w:rsidRDefault="00066753" w:rsidP="008F5458">
      <w:pPr>
        <w:spacing w:after="0" w:line="240" w:lineRule="auto"/>
        <w:rPr>
          <w:rFonts w:ascii="Times New Roman" w:hAnsi="Times New Roman" w:cs="Times New Roman"/>
          <w:b/>
          <w:bCs/>
          <w:sz w:val="28"/>
          <w:szCs w:val="28"/>
          <w:lang w:val="fr-FR"/>
        </w:rPr>
      </w:pPr>
    </w:p>
    <w:bookmarkEnd w:id="0"/>
    <w:p w14:paraId="2FE398AE" w14:textId="77777777" w:rsidR="00907CFC" w:rsidRPr="008F5458" w:rsidRDefault="00907CFC" w:rsidP="008F5458">
      <w:pPr>
        <w:spacing w:before="120" w:after="0" w:line="240" w:lineRule="auto"/>
        <w:jc w:val="both"/>
        <w:rPr>
          <w:rFonts w:ascii="Times New Roman" w:hAnsi="Times New Roman" w:cs="Times New Roman"/>
          <w:sz w:val="28"/>
          <w:szCs w:val="28"/>
          <w:lang w:val="fr-FR"/>
        </w:rPr>
      </w:pPr>
      <w:r w:rsidRPr="008F5458">
        <w:rPr>
          <w:rFonts w:ascii="Times New Roman" w:hAnsi="Times New Roman" w:cs="Times New Roman"/>
          <w:sz w:val="28"/>
          <w:szCs w:val="28"/>
          <w:lang w:val="fr-FR"/>
        </w:rPr>
        <w:t>Les efforts des communautés mondiales pour réduire la faim dans le monde pour atteindre zéro d'ici 2030 approché dans l'Objectif de développement durable (ODD) d'ici 2030 sont confrontés à un défi majeur, d'où l'augmentation du nombre de personnes souffrant de malnutrition soulevées pour atteindre 821 millions. Une telle situation devrait exploser en 2020 et a laissé la communauté mondiale face à une période désespérée.</w:t>
      </w:r>
    </w:p>
    <w:p w14:paraId="49651CE2" w14:textId="64F2F321" w:rsidR="00907CFC"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907CFC" w:rsidRPr="008F5458">
        <w:rPr>
          <w:rFonts w:ascii="Times New Roman" w:hAnsi="Times New Roman" w:cs="Times New Roman"/>
          <w:sz w:val="28"/>
          <w:szCs w:val="28"/>
          <w:lang w:val="fr-FR"/>
        </w:rPr>
        <w:t>On s'attend à ce que des conséquences plus dra</w:t>
      </w:r>
      <w:r w:rsidR="00E72BA2" w:rsidRPr="008F5458">
        <w:rPr>
          <w:rFonts w:ascii="Times New Roman" w:hAnsi="Times New Roman" w:cs="Times New Roman"/>
          <w:sz w:val="28"/>
          <w:szCs w:val="28"/>
          <w:lang w:val="fr-FR"/>
        </w:rPr>
        <w:t>s</w:t>
      </w:r>
      <w:r w:rsidR="00907CFC" w:rsidRPr="008F5458">
        <w:rPr>
          <w:rFonts w:ascii="Times New Roman" w:hAnsi="Times New Roman" w:cs="Times New Roman"/>
          <w:sz w:val="28"/>
          <w:szCs w:val="28"/>
          <w:lang w:val="fr-FR"/>
        </w:rPr>
        <w:t xml:space="preserve">tiques se révèlent d'ici quelques mois avec l'effet de la pandémie COVID -19. Ces faits nous laisseront avec un immense défi, spécialement dans les populations d'Afrique et d'Asie, spécialement dans les pays membres de l'OCI. Selon les rapports de la FAO, environ 2 milliards de personnes dans le monde souffrent d'insécurité alimentaire modérée à sévère. Le rapport du Programme alimentaire mondial (PAM) des Nations Unies a souligné que 26 pays seront en insécurité alimentaire alors qu'ils souffrent déjà de faim chronique. En outre, 1,5 milliard d'enfants dans le monde ne sont actuellement pas scolarisés et dépendent des repas scolaires pour éviter de souffrir de la faim. La situation mondiale sera encore plus véhémente, selon le PAM et </w:t>
      </w:r>
      <w:r w:rsidR="00E72BA2" w:rsidRPr="008F5458">
        <w:rPr>
          <w:rFonts w:ascii="Times New Roman" w:hAnsi="Times New Roman" w:cs="Times New Roman"/>
          <w:sz w:val="28"/>
          <w:szCs w:val="28"/>
          <w:lang w:val="fr-FR"/>
        </w:rPr>
        <w:t xml:space="preserve">et on estime </w:t>
      </w:r>
      <w:r w:rsidR="00907CFC" w:rsidRPr="008F5458">
        <w:rPr>
          <w:rFonts w:ascii="Times New Roman" w:hAnsi="Times New Roman" w:cs="Times New Roman"/>
          <w:sz w:val="28"/>
          <w:szCs w:val="28"/>
          <w:lang w:val="fr-FR"/>
        </w:rPr>
        <w:t>environ 265 millions de personnes pourraient être poussées au bord de la famine d'ici la fin de l'année 2020.</w:t>
      </w:r>
    </w:p>
    <w:p w14:paraId="4711E37E" w14:textId="084A1244" w:rsidR="00907CFC"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907CFC" w:rsidRPr="008F5458">
        <w:rPr>
          <w:rFonts w:ascii="Times New Roman" w:hAnsi="Times New Roman" w:cs="Times New Roman"/>
          <w:sz w:val="28"/>
          <w:szCs w:val="28"/>
          <w:lang w:val="fr-FR"/>
        </w:rPr>
        <w:t>La situation actuelle de la sécurité alimentaire engage la nécessité de consolider les efforts entre les États membres (EM) de l'OCI / OISA pour atteindre l'objectif de sécurité alimentaire et de lutte contre la faim dans le monde musulman.</w:t>
      </w:r>
    </w:p>
    <w:p w14:paraId="747EF523" w14:textId="3C31AC8E" w:rsidR="00E72BA2"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E72BA2" w:rsidRPr="008F5458">
        <w:rPr>
          <w:rFonts w:ascii="Times New Roman" w:hAnsi="Times New Roman" w:cs="Times New Roman"/>
          <w:sz w:val="28"/>
          <w:szCs w:val="28"/>
          <w:lang w:val="fr-FR"/>
        </w:rPr>
        <w:t>Les États membres de l'OCI / OISA ont des conditions économiques et des niveaux de développement différents, donc dans le domaine de la sécurité alimentaire, l'aspect le plus important est l'utilisation des avantages de la coopération interétatique et la formation de mécanismes de contre-action collective. Parallèlement à la stabilité de la production agricole, la formation de réserves et de stocks contribuerait à accroître le niveau de sécurité alimentaire et à renforcer les garanties sociales, ainsi que la capacité à gérer les risques.</w:t>
      </w:r>
    </w:p>
    <w:p w14:paraId="458F38A6" w14:textId="6E1E331B" w:rsidR="00E72BA2"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5. </w:t>
      </w:r>
      <w:r w:rsidR="00E72BA2" w:rsidRPr="008F5458">
        <w:rPr>
          <w:rFonts w:ascii="Times New Roman" w:hAnsi="Times New Roman" w:cs="Times New Roman"/>
          <w:sz w:val="28"/>
          <w:szCs w:val="28"/>
          <w:lang w:val="fr-FR"/>
        </w:rPr>
        <w:t>La nécessité de créer des Réserves de sécurité alimentaire (FSR) de l'OCI a été exprimée pendant longtemps aux plates-formes de haut niveau de l'OCI, à commencer par la 4e Conférence ministérielle de l'OCI sur la sécurité alimentaire et le développement agricole tenue à Téhéran, République islamique d'Iran le 14 -16 janvier 1995.</w:t>
      </w:r>
    </w:p>
    <w:p w14:paraId="4EC1F1D2" w14:textId="24AF7932" w:rsidR="00D9434C"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6. </w:t>
      </w:r>
      <w:r w:rsidR="00E72BA2" w:rsidRPr="008F5458">
        <w:rPr>
          <w:rFonts w:ascii="Times New Roman" w:hAnsi="Times New Roman" w:cs="Times New Roman"/>
          <w:sz w:val="28"/>
          <w:szCs w:val="28"/>
          <w:lang w:val="fr-FR"/>
        </w:rPr>
        <w:t>Sur la base de ce qui précède et conformément à l'article 4 du Statut de l'OISA stipulant la création de réserves de sécurité alimentaire, le Secrétariat de l'OISA propose de commencer un travail actif sur l'établissement d'une réserve de sécurité alimentaire de l'OCI (RSF). Le rôle des FSR est de constituer des stocks alimentaires sur une base sous-régionale en tenant compte des besoins alimentaires particuliers de chaque groupe régional au sein des États membres (EM) de l'OCI. Dans les cas de stress et d'urgence, les réserves seront utilisées pour couvrir les pénuries alimentaires.</w:t>
      </w:r>
    </w:p>
    <w:p w14:paraId="2BD72D75" w14:textId="77777777" w:rsidR="009B30DA" w:rsidRPr="008F5458" w:rsidRDefault="009B30DA" w:rsidP="008F5458">
      <w:pPr>
        <w:spacing w:after="0" w:line="240" w:lineRule="auto"/>
        <w:rPr>
          <w:rFonts w:ascii="Times New Roman" w:hAnsi="Times New Roman" w:cs="Times New Roman"/>
          <w:b/>
          <w:bCs/>
          <w:sz w:val="28"/>
          <w:szCs w:val="28"/>
          <w:lang w:val="fr-FR"/>
        </w:rPr>
      </w:pPr>
    </w:p>
    <w:p w14:paraId="02AAE576" w14:textId="77777777" w:rsidR="008F5458" w:rsidRDefault="00907CFC" w:rsidP="008F5458">
      <w:pPr>
        <w:spacing w:after="0" w:line="240" w:lineRule="auto"/>
        <w:rPr>
          <w:rFonts w:ascii="Times New Roman" w:hAnsi="Times New Roman" w:cs="Times New Roman"/>
          <w:b/>
          <w:bCs/>
          <w:sz w:val="28"/>
          <w:szCs w:val="28"/>
          <w:lang w:val="fr-FR"/>
        </w:rPr>
      </w:pPr>
      <w:r w:rsidRPr="008F5458">
        <w:rPr>
          <w:rFonts w:ascii="Times New Roman" w:hAnsi="Times New Roman" w:cs="Times New Roman"/>
          <w:b/>
          <w:bCs/>
          <w:sz w:val="28"/>
          <w:szCs w:val="28"/>
          <w:lang w:val="fr-FR"/>
        </w:rPr>
        <w:t>Réserves de sécurité alimentaire de l'OCI</w:t>
      </w:r>
    </w:p>
    <w:p w14:paraId="63134AFC" w14:textId="2F9D23CE" w:rsidR="00E72BA2" w:rsidRPr="008F5458" w:rsidRDefault="008F5458" w:rsidP="008F5458">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7. </w:t>
      </w:r>
      <w:r w:rsidR="00E7415A" w:rsidRPr="008F5458">
        <w:rPr>
          <w:rFonts w:ascii="Times New Roman" w:hAnsi="Times New Roman" w:cs="Times New Roman"/>
          <w:sz w:val="28"/>
          <w:szCs w:val="28"/>
          <w:lang w:val="fr-FR"/>
        </w:rPr>
        <w:t xml:space="preserve">Le but principal de la création des </w:t>
      </w:r>
      <w:r w:rsidR="000130E0" w:rsidRPr="008F5458">
        <w:rPr>
          <w:rFonts w:ascii="Times New Roman" w:hAnsi="Times New Roman" w:cs="Times New Roman"/>
          <w:sz w:val="28"/>
          <w:szCs w:val="28"/>
          <w:lang w:val="fr-FR"/>
        </w:rPr>
        <w:t>FSR</w:t>
      </w:r>
      <w:r w:rsidR="00E7415A" w:rsidRPr="008F5458">
        <w:rPr>
          <w:rFonts w:ascii="Times New Roman" w:hAnsi="Times New Roman" w:cs="Times New Roman"/>
          <w:sz w:val="28"/>
          <w:szCs w:val="28"/>
          <w:lang w:val="fr-FR"/>
        </w:rPr>
        <w:t xml:space="preserve"> est de faciliter l'accès à la nourriture dans les États membres de l'OCI à travers la coordination des politiques nationales de stock alimentaire et de réserve alimentaire nationale pour un approvisionnement garanti à la population pendant la période de pénurie alimentaire et surveillera également la situation de la sécurité alimentaire des États membres.</w:t>
      </w:r>
      <w:r w:rsidR="00E72BA2" w:rsidRPr="008F5458">
        <w:rPr>
          <w:rFonts w:ascii="Times New Roman" w:hAnsi="Times New Roman" w:cs="Times New Roman"/>
          <w:sz w:val="28"/>
          <w:szCs w:val="28"/>
          <w:lang w:val="fr-FR"/>
        </w:rPr>
        <w:t xml:space="preserve"> Parallèlement, le FSR servira à atteindre les objectifs suivants:</w:t>
      </w:r>
    </w:p>
    <w:p w14:paraId="763080CF" w14:textId="3FA957F4" w:rsidR="00E72BA2" w:rsidRPr="008F5458" w:rsidRDefault="00E72BA2" w:rsidP="008F5458">
      <w:pPr>
        <w:pStyle w:val="a3"/>
        <w:numPr>
          <w:ilvl w:val="0"/>
          <w:numId w:val="7"/>
        </w:numPr>
        <w:spacing w:after="0" w:line="240" w:lineRule="auto"/>
        <w:ind w:hanging="720"/>
        <w:jc w:val="both"/>
        <w:rPr>
          <w:rFonts w:ascii="Times New Roman" w:hAnsi="Times New Roman" w:cs="Times New Roman"/>
          <w:sz w:val="28"/>
          <w:szCs w:val="28"/>
          <w:lang w:val="fr-FR"/>
        </w:rPr>
      </w:pPr>
      <w:r w:rsidRPr="008F5458">
        <w:rPr>
          <w:rFonts w:ascii="Times New Roman" w:hAnsi="Times New Roman" w:cs="Times New Roman"/>
          <w:sz w:val="28"/>
          <w:szCs w:val="28"/>
          <w:lang w:val="fr-FR"/>
        </w:rPr>
        <w:t>Promouvoir la stabilité des prix et une productivité accrue;</w:t>
      </w:r>
    </w:p>
    <w:p w14:paraId="3DCA7F2F" w14:textId="544325E2" w:rsidR="00E72BA2" w:rsidRPr="008F5458" w:rsidRDefault="00E72BA2" w:rsidP="008F5458">
      <w:pPr>
        <w:pStyle w:val="a3"/>
        <w:numPr>
          <w:ilvl w:val="0"/>
          <w:numId w:val="7"/>
        </w:numPr>
        <w:spacing w:after="0" w:line="240" w:lineRule="auto"/>
        <w:ind w:hanging="720"/>
        <w:jc w:val="both"/>
        <w:rPr>
          <w:rFonts w:ascii="Times New Roman" w:hAnsi="Times New Roman" w:cs="Times New Roman"/>
          <w:sz w:val="28"/>
          <w:szCs w:val="28"/>
          <w:lang w:val="fr-FR"/>
        </w:rPr>
      </w:pPr>
      <w:r w:rsidRPr="008F5458">
        <w:rPr>
          <w:rFonts w:ascii="Times New Roman" w:hAnsi="Times New Roman" w:cs="Times New Roman"/>
          <w:sz w:val="28"/>
          <w:szCs w:val="28"/>
          <w:lang w:val="fr-FR"/>
        </w:rPr>
        <w:t>Promouvoir la solidarité intra-OCI et renforcer le développement socio-économique;</w:t>
      </w:r>
    </w:p>
    <w:p w14:paraId="2094C3F1" w14:textId="2BBCAFEF" w:rsidR="00E7415A" w:rsidRPr="008F5458" w:rsidRDefault="00E72BA2" w:rsidP="008F5458">
      <w:pPr>
        <w:pStyle w:val="a3"/>
        <w:numPr>
          <w:ilvl w:val="0"/>
          <w:numId w:val="7"/>
        </w:numPr>
        <w:spacing w:after="0" w:line="240" w:lineRule="auto"/>
        <w:ind w:hanging="720"/>
        <w:jc w:val="both"/>
        <w:rPr>
          <w:rFonts w:ascii="Times New Roman" w:hAnsi="Times New Roman" w:cs="Times New Roman"/>
          <w:sz w:val="28"/>
          <w:szCs w:val="28"/>
          <w:lang w:val="fr-FR"/>
        </w:rPr>
      </w:pPr>
      <w:r w:rsidRPr="008F5458">
        <w:rPr>
          <w:rFonts w:ascii="Times New Roman" w:hAnsi="Times New Roman" w:cs="Times New Roman"/>
          <w:sz w:val="28"/>
          <w:szCs w:val="28"/>
          <w:lang w:val="fr-FR"/>
        </w:rPr>
        <w:t>Soutenir les producteurs locaux à travers des achats alimentaires</w:t>
      </w:r>
      <w:r w:rsidR="008F5458">
        <w:rPr>
          <w:rFonts w:ascii="Times New Roman" w:hAnsi="Times New Roman" w:cs="Times New Roman"/>
          <w:sz w:val="28"/>
          <w:szCs w:val="28"/>
          <w:lang w:val="fr-FR"/>
        </w:rPr>
        <w:t xml:space="preserve"> </w:t>
      </w:r>
    </w:p>
    <w:p w14:paraId="062DCAA6" w14:textId="50822470" w:rsidR="00E7415A"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8. </w:t>
      </w:r>
      <w:r w:rsidR="00E7415A" w:rsidRPr="008F5458">
        <w:rPr>
          <w:rFonts w:ascii="Times New Roman" w:hAnsi="Times New Roman" w:cs="Times New Roman"/>
          <w:sz w:val="28"/>
          <w:szCs w:val="28"/>
          <w:lang w:val="fr-FR"/>
        </w:rPr>
        <w:t>Les RSA devraient être suffisamment autonome, la gestion des réserves devant être indépendante et transparente. Par conséquent, afin d'assurer la supervision et la coordination de la mise en œuvre des RSA, un comité de pilotage sera établi. Le Comité de pilotage sera composé de représentants de tous les États membres de l'OCI.</w:t>
      </w:r>
    </w:p>
    <w:p w14:paraId="026958DC" w14:textId="0C1F1135" w:rsidR="008F14B1"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9. </w:t>
      </w:r>
      <w:r w:rsidR="008F14B1" w:rsidRPr="008F5458">
        <w:rPr>
          <w:rFonts w:ascii="Times New Roman" w:hAnsi="Times New Roman" w:cs="Times New Roman"/>
          <w:sz w:val="28"/>
          <w:szCs w:val="28"/>
          <w:lang w:val="fr-FR"/>
        </w:rPr>
        <w:t>Le FSR basé sur les principaux produits alimentaires. Le Comité de pilotage, avec d'autres fonctions, décide de la quantité et du type de produits à stocker, à l'entreposage physique ou aux obligations d'approvisionnement alimentaire d'urgence, et autres. Selon la recommandation de la FAO de stocker un produit spécifique, cela signifie de réserver le volume de nourriture environ pendant trois mois. Le stockage de la consommation basé sur 160-175 kg par volume par personne pour des aliments tels que les céréales (blé, maïs, riz), car trois mois suffisent pour assurer l'entretien ou l'obtention d'une nouvelle récolte.</w:t>
      </w:r>
    </w:p>
    <w:p w14:paraId="1E82A799" w14:textId="4AD9B7A0" w:rsidR="008F14B1"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10. </w:t>
      </w:r>
      <w:r w:rsidR="008F14B1" w:rsidRPr="008F5458">
        <w:rPr>
          <w:rFonts w:ascii="Times New Roman" w:hAnsi="Times New Roman" w:cs="Times New Roman"/>
          <w:sz w:val="28"/>
          <w:szCs w:val="28"/>
          <w:lang w:val="fr-FR"/>
        </w:rPr>
        <w:t>L'approche décisionnelle du Comité de pilotage du FSR sur l'approvisionnement de la réserve, en cas d'urgence, s'appuie sur l'évaluation. Il comprend l'équilibre en continu des ressources alimentaires, leur disponibilité économique et physique, la profondeur de la nourriture parmi les groupes vulnérables et la capacité de la société et de l'État à résoudre le problème de manière indépendante, la disponibilité d'une infrastructure organisationnelle et logistique locale pour la distribution de l'aide, l'obtention d'un demande d'aide clairement formulée du gouvernement.</w:t>
      </w:r>
    </w:p>
    <w:p w14:paraId="4B506047" w14:textId="15229032" w:rsidR="00FC260A"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11. </w:t>
      </w:r>
      <w:r w:rsidR="008F14B1" w:rsidRPr="008F5458">
        <w:rPr>
          <w:rFonts w:ascii="Times New Roman" w:hAnsi="Times New Roman" w:cs="Times New Roman"/>
          <w:sz w:val="28"/>
          <w:szCs w:val="28"/>
          <w:lang w:val="fr-FR"/>
        </w:rPr>
        <w:t>Le modèle de FSR et les outils de soutien doivent être larges, flexibles et à plusieurs niveaux en tant que - fonds internationaux, communautés nationales, régionales et locales. Il est donc nécessaire de définir des domaines de coopération et de partenariat avec des organisations, telles que les réserves alimentaires régionales déjà existantes comme la CEDEAO et ASIAN + 3.</w:t>
      </w:r>
    </w:p>
    <w:p w14:paraId="6A027DAB" w14:textId="153E6403" w:rsidR="00916A35" w:rsidRDefault="00916A35" w:rsidP="008F5458">
      <w:pPr>
        <w:spacing w:before="120" w:after="0" w:line="240" w:lineRule="auto"/>
        <w:jc w:val="both"/>
        <w:rPr>
          <w:rFonts w:ascii="Times New Roman" w:hAnsi="Times New Roman" w:cs="Times New Roman"/>
          <w:sz w:val="28"/>
          <w:szCs w:val="28"/>
          <w:lang w:val="fr-FR"/>
        </w:rPr>
      </w:pPr>
    </w:p>
    <w:p w14:paraId="158F8283" w14:textId="77777777" w:rsidR="00916A35" w:rsidRPr="008F5458" w:rsidRDefault="00916A35" w:rsidP="008F5458">
      <w:pPr>
        <w:spacing w:before="120" w:after="0" w:line="240" w:lineRule="auto"/>
        <w:jc w:val="both"/>
        <w:rPr>
          <w:rFonts w:ascii="Times New Roman" w:hAnsi="Times New Roman" w:cs="Times New Roman"/>
          <w:sz w:val="28"/>
          <w:szCs w:val="28"/>
          <w:lang w:val="fr-FR"/>
        </w:rPr>
      </w:pPr>
      <w:bookmarkStart w:id="1" w:name="_GoBack"/>
      <w:bookmarkEnd w:id="1"/>
    </w:p>
    <w:p w14:paraId="1C710EDF" w14:textId="734DB864" w:rsidR="00D17D9C" w:rsidRPr="008F5458" w:rsidRDefault="008F14B1" w:rsidP="00916A35">
      <w:pPr>
        <w:spacing w:before="240" w:after="0" w:line="240" w:lineRule="auto"/>
        <w:rPr>
          <w:rFonts w:ascii="Times New Roman" w:hAnsi="Times New Roman" w:cs="Times New Roman"/>
          <w:iCs/>
          <w:sz w:val="28"/>
          <w:szCs w:val="28"/>
          <w:highlight w:val="yellow"/>
          <w:lang w:val="fr-FR"/>
        </w:rPr>
      </w:pPr>
      <w:r w:rsidRPr="008F5458">
        <w:rPr>
          <w:rFonts w:ascii="Times New Roman" w:hAnsi="Times New Roman" w:cs="Times New Roman"/>
          <w:b/>
          <w:bCs/>
          <w:sz w:val="28"/>
          <w:szCs w:val="28"/>
          <w:lang w:val="kk-KZ"/>
        </w:rPr>
        <w:t>Figure 1. Une structure de gestion préliminaire du FSR régional</w:t>
      </w:r>
      <w:r w:rsidRPr="008F5458">
        <w:rPr>
          <w:noProof/>
          <w:sz w:val="28"/>
          <w:szCs w:val="28"/>
          <w:lang w:val="en-US"/>
        </w:rPr>
        <w:drawing>
          <wp:inline distT="0" distB="0" distL="0" distR="0" wp14:anchorId="706E8684" wp14:editId="35E5858F">
            <wp:extent cx="6036945" cy="3010642"/>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7789" cy="3011063"/>
                    </a:xfrm>
                    <a:prstGeom prst="rect">
                      <a:avLst/>
                    </a:prstGeom>
                  </pic:spPr>
                </pic:pic>
              </a:graphicData>
            </a:graphic>
          </wp:inline>
        </w:drawing>
      </w:r>
      <w:r w:rsidRPr="008F5458">
        <w:rPr>
          <w:rFonts w:ascii="Times New Roman" w:hAnsi="Times New Roman" w:cs="Times New Roman"/>
          <w:iCs/>
          <w:sz w:val="28"/>
          <w:szCs w:val="28"/>
          <w:lang w:val="fr-FR"/>
        </w:rPr>
        <w:t>Source: Basé sur la vision de l'expert de l’OISA, Nour-Soultan, 2020</w:t>
      </w:r>
    </w:p>
    <w:p w14:paraId="4A078FA3" w14:textId="77777777" w:rsidR="008F14B1" w:rsidRPr="008F5458" w:rsidRDefault="008F14B1" w:rsidP="008F5458">
      <w:pPr>
        <w:spacing w:after="0" w:line="240" w:lineRule="auto"/>
        <w:rPr>
          <w:rFonts w:ascii="Times New Roman" w:hAnsi="Times New Roman" w:cs="Times New Roman"/>
          <w:b/>
          <w:bCs/>
          <w:sz w:val="28"/>
          <w:szCs w:val="28"/>
          <w:lang w:val="fr-FR"/>
        </w:rPr>
      </w:pPr>
    </w:p>
    <w:p w14:paraId="709BBCE2" w14:textId="77777777" w:rsidR="008F5458" w:rsidRDefault="00E7415A" w:rsidP="008F5458">
      <w:pPr>
        <w:spacing w:after="0" w:line="240" w:lineRule="auto"/>
        <w:rPr>
          <w:rFonts w:ascii="Times New Roman" w:hAnsi="Times New Roman" w:cs="Times New Roman"/>
          <w:b/>
          <w:bCs/>
          <w:sz w:val="28"/>
          <w:szCs w:val="28"/>
          <w:lang w:val="fr-FR"/>
        </w:rPr>
      </w:pPr>
      <w:r w:rsidRPr="008F5458">
        <w:rPr>
          <w:rFonts w:ascii="Times New Roman" w:hAnsi="Times New Roman" w:cs="Times New Roman"/>
          <w:b/>
          <w:bCs/>
          <w:sz w:val="28"/>
          <w:szCs w:val="28"/>
          <w:lang w:val="fr-FR"/>
        </w:rPr>
        <w:t xml:space="preserve">Etude sur les </w:t>
      </w:r>
      <w:r w:rsidR="008F14B1" w:rsidRPr="008F5458">
        <w:rPr>
          <w:rFonts w:ascii="Times New Roman" w:hAnsi="Times New Roman" w:cs="Times New Roman"/>
          <w:b/>
          <w:bCs/>
          <w:sz w:val="28"/>
          <w:szCs w:val="28"/>
          <w:lang w:val="fr-FR"/>
        </w:rPr>
        <w:t>FSR</w:t>
      </w:r>
    </w:p>
    <w:p w14:paraId="708B7DC8" w14:textId="70BDD614" w:rsidR="008F14B1" w:rsidRPr="008F5458" w:rsidRDefault="008F5458" w:rsidP="008F5458">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12. </w:t>
      </w:r>
      <w:r w:rsidR="008F14B1" w:rsidRPr="008F5458">
        <w:rPr>
          <w:rFonts w:ascii="Times New Roman" w:hAnsi="Times New Roman" w:cs="Times New Roman"/>
          <w:sz w:val="28"/>
          <w:szCs w:val="28"/>
          <w:lang w:val="fr-FR"/>
        </w:rPr>
        <w:t>Comme étape initiale de la mise en place de l'initiative FSR, a proposé de mener une étude de faisabilité avec une analyse approfondie et détaillée de la spécification de la région.</w:t>
      </w:r>
    </w:p>
    <w:p w14:paraId="74E9B7F1" w14:textId="1910A0E0" w:rsidR="008F14B1" w:rsidRPr="008F5458" w:rsidRDefault="008F5458" w:rsidP="008F5458">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8F14B1" w:rsidRPr="008F5458">
        <w:rPr>
          <w:rFonts w:ascii="Times New Roman" w:hAnsi="Times New Roman" w:cs="Times New Roman"/>
          <w:sz w:val="28"/>
          <w:szCs w:val="28"/>
          <w:lang w:val="fr-FR"/>
        </w:rPr>
        <w:t>L'étude de faisabilité détaille le contexte et les fondements, la proposition de regroupement du pays en FSR régionales, les volumes requis de denrées alimentaires et leurs types; mécanismes et options pour le positionnement de la réserve, défis, ses objectifs spécifiques et ses conditions pratiques. Ces derniers concernent la conception des FSR et de ses composantes physiques et financières, la composition et la localisation de la composante physique, l'approvisionnement et la maintenance des stocks et les modalités de leur libération.</w:t>
      </w:r>
    </w:p>
    <w:p w14:paraId="1811BF9F" w14:textId="7E3811A0" w:rsidR="0045741B" w:rsidRPr="008F5458" w:rsidRDefault="008F5458" w:rsidP="008F5458">
      <w:pPr>
        <w:spacing w:before="120" w:after="0" w:line="240" w:lineRule="auto"/>
        <w:jc w:val="both"/>
        <w:rPr>
          <w:rFonts w:ascii="Times New Roman" w:hAnsi="Times New Roman" w:cs="Times New Roman"/>
          <w:b/>
          <w:bCs/>
          <w:sz w:val="28"/>
          <w:szCs w:val="28"/>
          <w:u w:val="single"/>
          <w:lang w:val="fr-FR"/>
        </w:rPr>
      </w:pPr>
      <w:r>
        <w:rPr>
          <w:rFonts w:ascii="Times New Roman" w:hAnsi="Times New Roman" w:cs="Times New Roman"/>
          <w:sz w:val="28"/>
          <w:szCs w:val="28"/>
          <w:lang w:val="fr-FR"/>
        </w:rPr>
        <w:t xml:space="preserve">14. </w:t>
      </w:r>
      <w:r w:rsidR="008F14B1" w:rsidRPr="008F5458">
        <w:rPr>
          <w:rFonts w:ascii="Times New Roman" w:hAnsi="Times New Roman" w:cs="Times New Roman"/>
          <w:sz w:val="28"/>
          <w:szCs w:val="28"/>
          <w:lang w:val="fr-FR"/>
        </w:rPr>
        <w:t>Auparavant, le Secrétariat de l'OISA a distribué le Projet de Protocole des Réserves de Sécurité Alimentaire de l'OCI (document constitutif) aux États Membres, développé par le Secrétariat Général de l'OCI. Un certain nombre d'États membres de l'OCI, comme le Koweït, les Émirats Arabes Unis, le Royaume du Maroc, l'État du Qatar, la République d'Azerbaïdjan, la République de Turquie et la République du Kazakhstan, ont soumis des commentaires et noté la nécessité de mener l'étude de faisabilité avec des conclusions élaborées pour prendre des décisions appropriées.</w:t>
      </w:r>
    </w:p>
    <w:p w14:paraId="67EECE72" w14:textId="2FB80EF7" w:rsidR="0045741B" w:rsidRDefault="0045741B" w:rsidP="008F5458">
      <w:pPr>
        <w:spacing w:before="120" w:after="0" w:line="240" w:lineRule="auto"/>
        <w:jc w:val="both"/>
        <w:rPr>
          <w:rFonts w:ascii="Times New Roman" w:hAnsi="Times New Roman" w:cs="Times New Roman"/>
          <w:b/>
          <w:bCs/>
          <w:sz w:val="28"/>
          <w:szCs w:val="28"/>
          <w:u w:val="single"/>
          <w:lang w:val="fr-FR"/>
        </w:rPr>
      </w:pPr>
    </w:p>
    <w:p w14:paraId="4322EDBA" w14:textId="77777777" w:rsidR="008F5458" w:rsidRPr="008F5458" w:rsidRDefault="008F5458" w:rsidP="008F5458">
      <w:pPr>
        <w:spacing w:before="120" w:after="0" w:line="240" w:lineRule="auto"/>
        <w:jc w:val="both"/>
        <w:rPr>
          <w:rFonts w:ascii="Times New Roman" w:hAnsi="Times New Roman" w:cs="Times New Roman"/>
          <w:b/>
          <w:bCs/>
          <w:sz w:val="28"/>
          <w:szCs w:val="28"/>
          <w:u w:val="single"/>
          <w:lang w:val="fr-FR"/>
        </w:rPr>
      </w:pPr>
    </w:p>
    <w:p w14:paraId="73CD5662" w14:textId="40C9D639" w:rsidR="00E7415A" w:rsidRPr="008F5458" w:rsidRDefault="00E7415A" w:rsidP="008F5458">
      <w:pPr>
        <w:spacing w:after="0" w:line="240" w:lineRule="auto"/>
        <w:rPr>
          <w:rFonts w:ascii="Times New Roman" w:hAnsi="Times New Roman" w:cs="Times New Roman"/>
          <w:b/>
          <w:bCs/>
          <w:sz w:val="28"/>
          <w:szCs w:val="28"/>
          <w:lang w:val="fr-FR"/>
        </w:rPr>
      </w:pPr>
      <w:r w:rsidRPr="008F5458">
        <w:rPr>
          <w:rFonts w:ascii="Times New Roman" w:hAnsi="Times New Roman" w:cs="Times New Roman"/>
          <w:b/>
          <w:bCs/>
          <w:sz w:val="28"/>
          <w:szCs w:val="28"/>
          <w:lang w:val="fr-FR"/>
        </w:rPr>
        <w:t>Le Secr</w:t>
      </w:r>
      <w:r w:rsidR="008F14B1" w:rsidRPr="008F5458">
        <w:rPr>
          <w:rFonts w:ascii="Times New Roman" w:hAnsi="Times New Roman" w:cs="Times New Roman"/>
          <w:b/>
          <w:bCs/>
          <w:sz w:val="28"/>
          <w:szCs w:val="28"/>
          <w:lang w:val="fr-FR"/>
        </w:rPr>
        <w:t>é</w:t>
      </w:r>
      <w:r w:rsidRPr="008F5458">
        <w:rPr>
          <w:rFonts w:ascii="Times New Roman" w:hAnsi="Times New Roman" w:cs="Times New Roman"/>
          <w:b/>
          <w:bCs/>
          <w:sz w:val="28"/>
          <w:szCs w:val="28"/>
          <w:lang w:val="fr-FR"/>
        </w:rPr>
        <w:t>tariat</w:t>
      </w:r>
    </w:p>
    <w:p w14:paraId="2777DD52" w14:textId="43868B8E" w:rsidR="00E7415A" w:rsidRPr="008F5458" w:rsidRDefault="00E7415A" w:rsidP="008F5458">
      <w:pPr>
        <w:spacing w:after="0" w:line="240" w:lineRule="auto"/>
        <w:rPr>
          <w:rFonts w:ascii="Times New Roman" w:hAnsi="Times New Roman" w:cs="Times New Roman"/>
          <w:b/>
          <w:bCs/>
          <w:sz w:val="28"/>
          <w:szCs w:val="28"/>
          <w:lang w:val="fr-FR"/>
        </w:rPr>
      </w:pPr>
      <w:r w:rsidRPr="008F5458">
        <w:rPr>
          <w:rFonts w:ascii="Times New Roman" w:hAnsi="Times New Roman" w:cs="Times New Roman"/>
          <w:b/>
          <w:bCs/>
          <w:sz w:val="28"/>
          <w:szCs w:val="28"/>
          <w:lang w:val="fr-FR"/>
        </w:rPr>
        <w:t>L’Organisation Islamique pour la Sécurité Alimentaire</w:t>
      </w:r>
    </w:p>
    <w:p w14:paraId="45171015" w14:textId="2F7BB8E8" w:rsidR="000C6274" w:rsidRPr="008F5458" w:rsidRDefault="00E7415A" w:rsidP="008F5458">
      <w:pPr>
        <w:spacing w:after="0" w:line="240" w:lineRule="auto"/>
        <w:rPr>
          <w:rFonts w:ascii="Times New Roman" w:hAnsi="Times New Roman" w:cs="Times New Roman"/>
          <w:b/>
          <w:bCs/>
          <w:sz w:val="28"/>
          <w:szCs w:val="28"/>
          <w:u w:val="single"/>
          <w:lang w:val="fr-FR"/>
        </w:rPr>
      </w:pPr>
      <w:r w:rsidRPr="008F5458">
        <w:rPr>
          <w:rFonts w:ascii="Times New Roman" w:hAnsi="Times New Roman" w:cs="Times New Roman"/>
          <w:b/>
          <w:bCs/>
          <w:sz w:val="28"/>
          <w:szCs w:val="28"/>
          <w:lang w:val="fr-FR"/>
        </w:rPr>
        <w:t>N</w:t>
      </w:r>
      <w:r w:rsidR="00BB7924" w:rsidRPr="008F5458">
        <w:rPr>
          <w:rFonts w:ascii="Times New Roman" w:hAnsi="Times New Roman" w:cs="Times New Roman"/>
          <w:b/>
          <w:bCs/>
          <w:sz w:val="28"/>
          <w:szCs w:val="28"/>
          <w:lang w:val="fr-FR"/>
        </w:rPr>
        <w:t>o</w:t>
      </w:r>
      <w:r w:rsidRPr="008F5458">
        <w:rPr>
          <w:rFonts w:ascii="Times New Roman" w:hAnsi="Times New Roman" w:cs="Times New Roman"/>
          <w:b/>
          <w:bCs/>
          <w:sz w:val="28"/>
          <w:szCs w:val="28"/>
          <w:lang w:val="fr-FR"/>
        </w:rPr>
        <w:t>ur</w:t>
      </w:r>
      <w:r w:rsidR="00BB7924" w:rsidRPr="008F5458">
        <w:rPr>
          <w:rFonts w:ascii="Times New Roman" w:hAnsi="Times New Roman" w:cs="Times New Roman"/>
          <w:b/>
          <w:bCs/>
          <w:sz w:val="28"/>
          <w:szCs w:val="28"/>
          <w:lang w:val="fr-FR"/>
        </w:rPr>
        <w:t>-</w:t>
      </w:r>
      <w:r w:rsidRPr="008F5458">
        <w:rPr>
          <w:rFonts w:ascii="Times New Roman" w:hAnsi="Times New Roman" w:cs="Times New Roman"/>
          <w:b/>
          <w:bCs/>
          <w:sz w:val="28"/>
          <w:szCs w:val="28"/>
          <w:lang w:val="fr-FR"/>
        </w:rPr>
        <w:t>S</w:t>
      </w:r>
      <w:r w:rsidR="00BB7924" w:rsidRPr="008F5458">
        <w:rPr>
          <w:rFonts w:ascii="Times New Roman" w:hAnsi="Times New Roman" w:cs="Times New Roman"/>
          <w:b/>
          <w:bCs/>
          <w:sz w:val="28"/>
          <w:szCs w:val="28"/>
          <w:lang w:val="fr-FR"/>
        </w:rPr>
        <w:t>o</w:t>
      </w:r>
      <w:r w:rsidRPr="008F5458">
        <w:rPr>
          <w:rFonts w:ascii="Times New Roman" w:hAnsi="Times New Roman" w:cs="Times New Roman"/>
          <w:b/>
          <w:bCs/>
          <w:sz w:val="28"/>
          <w:szCs w:val="28"/>
          <w:lang w:val="fr-FR"/>
        </w:rPr>
        <w:t>ultan, République du Kazakhstan</w:t>
      </w:r>
    </w:p>
    <w:sectPr w:rsidR="000C6274" w:rsidRPr="008F5458" w:rsidSect="00916A35">
      <w:footerReference w:type="default" r:id="rId10"/>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99B19" w14:textId="77777777" w:rsidR="00166599" w:rsidRDefault="00166599" w:rsidP="00FB430B">
      <w:pPr>
        <w:spacing w:after="0" w:line="240" w:lineRule="auto"/>
      </w:pPr>
      <w:r>
        <w:separator/>
      </w:r>
    </w:p>
  </w:endnote>
  <w:endnote w:type="continuationSeparator" w:id="0">
    <w:p w14:paraId="3E272B04" w14:textId="77777777" w:rsidR="00166599" w:rsidRDefault="00166599" w:rsidP="00FB4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656483"/>
      <w:docPartObj>
        <w:docPartGallery w:val="Page Numbers (Bottom of Page)"/>
        <w:docPartUnique/>
      </w:docPartObj>
    </w:sdtPr>
    <w:sdtContent>
      <w:p w14:paraId="4517DC1D" w14:textId="7F5B6698" w:rsidR="00916A35" w:rsidRDefault="00916A35">
        <w:pPr>
          <w:pStyle w:val="ad"/>
          <w:jc w:val="right"/>
        </w:pPr>
        <w:r>
          <w:fldChar w:fldCharType="begin"/>
        </w:r>
        <w:r>
          <w:instrText>PAGE   \* MERGEFORMAT</w:instrText>
        </w:r>
        <w:r>
          <w:fldChar w:fldCharType="separate"/>
        </w:r>
        <w:r w:rsidR="00C23AA4" w:rsidRPr="00C23AA4">
          <w:rPr>
            <w:noProof/>
            <w:lang w:val="ru-RU"/>
          </w:rPr>
          <w:t>2</w:t>
        </w:r>
        <w:r>
          <w:fldChar w:fldCharType="end"/>
        </w:r>
      </w:p>
    </w:sdtContent>
  </w:sdt>
  <w:p w14:paraId="6E9D7A29" w14:textId="77777777" w:rsidR="00916A35" w:rsidRDefault="00916A3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F9BF5" w14:textId="77777777" w:rsidR="00166599" w:rsidRDefault="00166599" w:rsidP="00FB430B">
      <w:pPr>
        <w:spacing w:after="0" w:line="240" w:lineRule="auto"/>
      </w:pPr>
      <w:r>
        <w:separator/>
      </w:r>
    </w:p>
  </w:footnote>
  <w:footnote w:type="continuationSeparator" w:id="0">
    <w:p w14:paraId="7643CB9F" w14:textId="77777777" w:rsidR="00166599" w:rsidRDefault="00166599" w:rsidP="00FB4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853C2"/>
    <w:multiLevelType w:val="hybridMultilevel"/>
    <w:tmpl w:val="7B780C24"/>
    <w:lvl w:ilvl="0" w:tplc="479EFFB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C2579A2"/>
    <w:multiLevelType w:val="hybridMultilevel"/>
    <w:tmpl w:val="ECD2E020"/>
    <w:lvl w:ilvl="0" w:tplc="64C8D5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6D2496"/>
    <w:multiLevelType w:val="hybridMultilevel"/>
    <w:tmpl w:val="9DE0292A"/>
    <w:lvl w:ilvl="0" w:tplc="5EF2DF04">
      <w:start w:val="1"/>
      <w:numFmt w:val="decimal"/>
      <w:lvlText w:val="%1"/>
      <w:lvlJc w:val="left"/>
      <w:pPr>
        <w:ind w:left="360" w:hanging="36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52B530D1"/>
    <w:multiLevelType w:val="hybridMultilevel"/>
    <w:tmpl w:val="0B868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9F38F0"/>
    <w:multiLevelType w:val="hybridMultilevel"/>
    <w:tmpl w:val="098A39C0"/>
    <w:lvl w:ilvl="0" w:tplc="5A5006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4A36CE"/>
    <w:multiLevelType w:val="hybridMultilevel"/>
    <w:tmpl w:val="6EA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4D4C17"/>
    <w:multiLevelType w:val="hybridMultilevel"/>
    <w:tmpl w:val="70A60BFC"/>
    <w:lvl w:ilvl="0" w:tplc="506C98D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E1"/>
    <w:rsid w:val="000130E0"/>
    <w:rsid w:val="00017246"/>
    <w:rsid w:val="00066753"/>
    <w:rsid w:val="00097044"/>
    <w:rsid w:val="000B4A85"/>
    <w:rsid w:val="000C6274"/>
    <w:rsid w:val="000D0EF1"/>
    <w:rsid w:val="000E5C33"/>
    <w:rsid w:val="000F7EE5"/>
    <w:rsid w:val="00160620"/>
    <w:rsid w:val="00166599"/>
    <w:rsid w:val="00177748"/>
    <w:rsid w:val="00184945"/>
    <w:rsid w:val="001A70D8"/>
    <w:rsid w:val="001A7DEC"/>
    <w:rsid w:val="001D2EB6"/>
    <w:rsid w:val="001F1E68"/>
    <w:rsid w:val="0024556D"/>
    <w:rsid w:val="002616A0"/>
    <w:rsid w:val="00291C78"/>
    <w:rsid w:val="002D1B16"/>
    <w:rsid w:val="002D2B4E"/>
    <w:rsid w:val="002E3C58"/>
    <w:rsid w:val="0031234A"/>
    <w:rsid w:val="003813BB"/>
    <w:rsid w:val="00401799"/>
    <w:rsid w:val="004104AC"/>
    <w:rsid w:val="0045741B"/>
    <w:rsid w:val="004A6094"/>
    <w:rsid w:val="004A62A6"/>
    <w:rsid w:val="004E6BE1"/>
    <w:rsid w:val="004F3700"/>
    <w:rsid w:val="00510847"/>
    <w:rsid w:val="00573E2D"/>
    <w:rsid w:val="005830AA"/>
    <w:rsid w:val="00587EA8"/>
    <w:rsid w:val="005A7785"/>
    <w:rsid w:val="005C5FF8"/>
    <w:rsid w:val="005D2099"/>
    <w:rsid w:val="00627EA7"/>
    <w:rsid w:val="006572F9"/>
    <w:rsid w:val="00675475"/>
    <w:rsid w:val="00686B5C"/>
    <w:rsid w:val="006D1884"/>
    <w:rsid w:val="006D46DA"/>
    <w:rsid w:val="00705E80"/>
    <w:rsid w:val="007400D8"/>
    <w:rsid w:val="007418C1"/>
    <w:rsid w:val="007536C8"/>
    <w:rsid w:val="00792CD4"/>
    <w:rsid w:val="007A3E57"/>
    <w:rsid w:val="007D37A1"/>
    <w:rsid w:val="008768B2"/>
    <w:rsid w:val="008A4D3E"/>
    <w:rsid w:val="008D1E9B"/>
    <w:rsid w:val="008F14B1"/>
    <w:rsid w:val="008F5458"/>
    <w:rsid w:val="00907CFC"/>
    <w:rsid w:val="00916A35"/>
    <w:rsid w:val="00916EBB"/>
    <w:rsid w:val="00973AB9"/>
    <w:rsid w:val="009A03B3"/>
    <w:rsid w:val="009A2DBD"/>
    <w:rsid w:val="009B30DA"/>
    <w:rsid w:val="009D07BF"/>
    <w:rsid w:val="00A1622B"/>
    <w:rsid w:val="00A363DC"/>
    <w:rsid w:val="00A4156D"/>
    <w:rsid w:val="00A50560"/>
    <w:rsid w:val="00A967C1"/>
    <w:rsid w:val="00AE471D"/>
    <w:rsid w:val="00B7108C"/>
    <w:rsid w:val="00B938DB"/>
    <w:rsid w:val="00BB7924"/>
    <w:rsid w:val="00C23AA4"/>
    <w:rsid w:val="00CE0C62"/>
    <w:rsid w:val="00D11017"/>
    <w:rsid w:val="00D17D9C"/>
    <w:rsid w:val="00D9434C"/>
    <w:rsid w:val="00D9441A"/>
    <w:rsid w:val="00E15592"/>
    <w:rsid w:val="00E72BA2"/>
    <w:rsid w:val="00E7415A"/>
    <w:rsid w:val="00E927CE"/>
    <w:rsid w:val="00EA49E5"/>
    <w:rsid w:val="00EA758D"/>
    <w:rsid w:val="00FB430B"/>
    <w:rsid w:val="00FC260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E883"/>
  <w15:chartTrackingRefBased/>
  <w15:docId w15:val="{DD31C4DD-99EC-4F73-A55F-0001547E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BE1"/>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6BE1"/>
    <w:pPr>
      <w:ind w:left="720"/>
      <w:contextualSpacing/>
    </w:pPr>
  </w:style>
  <w:style w:type="character" w:styleId="a4">
    <w:name w:val="Hyperlink"/>
    <w:basedOn w:val="a0"/>
    <w:uiPriority w:val="99"/>
    <w:unhideWhenUsed/>
    <w:rsid w:val="00FB430B"/>
    <w:rPr>
      <w:color w:val="0563C1" w:themeColor="hyperlink"/>
      <w:u w:val="single"/>
    </w:rPr>
  </w:style>
  <w:style w:type="paragraph" w:styleId="a5">
    <w:name w:val="endnote text"/>
    <w:basedOn w:val="a"/>
    <w:link w:val="a6"/>
    <w:uiPriority w:val="99"/>
    <w:semiHidden/>
    <w:unhideWhenUsed/>
    <w:rsid w:val="00FB430B"/>
    <w:pPr>
      <w:spacing w:after="0" w:line="240" w:lineRule="auto"/>
    </w:pPr>
    <w:rPr>
      <w:sz w:val="20"/>
      <w:szCs w:val="20"/>
      <w:lang w:val="en-US"/>
    </w:rPr>
  </w:style>
  <w:style w:type="character" w:customStyle="1" w:styleId="a6">
    <w:name w:val="Текст концевой сноски Знак"/>
    <w:basedOn w:val="a0"/>
    <w:link w:val="a5"/>
    <w:uiPriority w:val="99"/>
    <w:semiHidden/>
    <w:rsid w:val="00FB430B"/>
    <w:rPr>
      <w:sz w:val="20"/>
      <w:szCs w:val="20"/>
      <w:lang w:val="en-US"/>
    </w:rPr>
  </w:style>
  <w:style w:type="character" w:styleId="a7">
    <w:name w:val="endnote reference"/>
    <w:basedOn w:val="a0"/>
    <w:uiPriority w:val="99"/>
    <w:semiHidden/>
    <w:unhideWhenUsed/>
    <w:rsid w:val="00FB430B"/>
    <w:rPr>
      <w:vertAlign w:val="superscript"/>
    </w:rPr>
  </w:style>
  <w:style w:type="table" w:styleId="a8">
    <w:name w:val="Table Grid"/>
    <w:basedOn w:val="a1"/>
    <w:uiPriority w:val="39"/>
    <w:rsid w:val="007D37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72BA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72BA2"/>
    <w:rPr>
      <w:rFonts w:ascii="Segoe UI" w:hAnsi="Segoe UI" w:cs="Segoe UI"/>
      <w:sz w:val="18"/>
      <w:szCs w:val="18"/>
      <w:lang w:val="en-GB"/>
    </w:rPr>
  </w:style>
  <w:style w:type="paragraph" w:styleId="ab">
    <w:name w:val="header"/>
    <w:basedOn w:val="a"/>
    <w:link w:val="ac"/>
    <w:uiPriority w:val="99"/>
    <w:unhideWhenUsed/>
    <w:rsid w:val="00916A35"/>
    <w:pPr>
      <w:tabs>
        <w:tab w:val="center" w:pos="4680"/>
        <w:tab w:val="right" w:pos="9360"/>
      </w:tabs>
      <w:spacing w:after="0" w:line="240" w:lineRule="auto"/>
    </w:pPr>
  </w:style>
  <w:style w:type="character" w:customStyle="1" w:styleId="ac">
    <w:name w:val="Верхний колонтитул Знак"/>
    <w:basedOn w:val="a0"/>
    <w:link w:val="ab"/>
    <w:uiPriority w:val="99"/>
    <w:rsid w:val="00916A35"/>
    <w:rPr>
      <w:lang w:val="en-GB"/>
    </w:rPr>
  </w:style>
  <w:style w:type="paragraph" w:styleId="ad">
    <w:name w:val="footer"/>
    <w:basedOn w:val="a"/>
    <w:link w:val="ae"/>
    <w:uiPriority w:val="99"/>
    <w:unhideWhenUsed/>
    <w:rsid w:val="00916A35"/>
    <w:pPr>
      <w:tabs>
        <w:tab w:val="center" w:pos="4680"/>
        <w:tab w:val="right" w:pos="9360"/>
      </w:tabs>
      <w:spacing w:after="0" w:line="240" w:lineRule="auto"/>
    </w:pPr>
  </w:style>
  <w:style w:type="character" w:customStyle="1" w:styleId="ae">
    <w:name w:val="Нижний колонтитул Знак"/>
    <w:basedOn w:val="a0"/>
    <w:link w:val="ad"/>
    <w:uiPriority w:val="99"/>
    <w:rsid w:val="00916A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9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C87B2-F2B6-4DF1-8FC3-E8AF4228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6248</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2</cp:revision>
  <dcterms:created xsi:type="dcterms:W3CDTF">2020-11-05T19:39:00Z</dcterms:created>
  <dcterms:modified xsi:type="dcterms:W3CDTF">2020-11-05T19:39:00Z</dcterms:modified>
</cp:coreProperties>
</file>